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49" w:rsidRDefault="00D23149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149" w:rsidRDefault="00D23149" w:rsidP="00D2314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 БЮЛЛЕТЕНЬ</w:t>
      </w:r>
    </w:p>
    <w:p w:rsidR="00D23149" w:rsidRDefault="00D23149" w:rsidP="00D2314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BC289C">
        <w:rPr>
          <w:b/>
          <w:sz w:val="32"/>
          <w:szCs w:val="32"/>
        </w:rPr>
        <w:t xml:space="preserve">от </w:t>
      </w:r>
      <w:r w:rsidR="00BC289C" w:rsidRPr="00BC289C">
        <w:rPr>
          <w:b/>
          <w:sz w:val="32"/>
          <w:szCs w:val="32"/>
        </w:rPr>
        <w:t>15</w:t>
      </w:r>
      <w:r w:rsidRPr="00BC289C">
        <w:rPr>
          <w:b/>
          <w:sz w:val="32"/>
          <w:szCs w:val="32"/>
        </w:rPr>
        <w:t>.</w:t>
      </w:r>
      <w:r w:rsidR="00BC289C" w:rsidRPr="00BC289C">
        <w:rPr>
          <w:b/>
          <w:sz w:val="32"/>
          <w:szCs w:val="32"/>
        </w:rPr>
        <w:t>11.24</w:t>
      </w:r>
      <w:r w:rsidRPr="00BC289C">
        <w:rPr>
          <w:b/>
          <w:sz w:val="32"/>
          <w:szCs w:val="32"/>
        </w:rPr>
        <w:t xml:space="preserve">г.                                                          </w:t>
      </w:r>
      <w:r w:rsidR="00BC289C" w:rsidRPr="00BC289C">
        <w:rPr>
          <w:b/>
          <w:sz w:val="32"/>
          <w:szCs w:val="32"/>
        </w:rPr>
        <w:t xml:space="preserve">                             № 30</w:t>
      </w:r>
      <w:bookmarkStart w:id="0" w:name="_GoBack"/>
      <w:bookmarkEnd w:id="0"/>
    </w:p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4C5BC5" w:rsidRDefault="00B800BF" w:rsidP="004C5BC5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645B09" w:rsidRPr="00645B09">
        <w:rPr>
          <w:sz w:val="28"/>
          <w:szCs w:val="28"/>
        </w:rPr>
        <w:t>5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1D2BCF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645B09" w:rsidRPr="005C2F5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5B09" w:rsidRPr="005C2F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4C5BC5" w:rsidRDefault="004C5BC5" w:rsidP="004C5B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C5" w:rsidRPr="001D261C" w:rsidRDefault="004C5BC5" w:rsidP="004C5BC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Сальского района </w:t>
      </w:r>
      <w:r w:rsidRPr="00D64BDE">
        <w:rPr>
          <w:rFonts w:ascii="Times New Roman" w:hAnsi="Times New Roman" w:cs="Times New Roman"/>
          <w:b/>
          <w:sz w:val="28"/>
          <w:szCs w:val="28"/>
        </w:rPr>
        <w:t>на 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5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6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7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Pr="00D64BDE" w:rsidRDefault="004C5BC5" w:rsidP="004C5BC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4C5BC5" w:rsidRPr="00456A91" w:rsidRDefault="004C5BC5" w:rsidP="004C5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(далее - местный бюджет)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CE5F5A">
        <w:rPr>
          <w:rFonts w:ascii="Times New Roman" w:hAnsi="Times New Roman" w:cs="Times New Roman"/>
          <w:sz w:val="28"/>
          <w:szCs w:val="28"/>
        </w:rPr>
        <w:t>4,</w:t>
      </w:r>
      <w:r w:rsidR="00CB2CD0" w:rsidRPr="00CB2CD0">
        <w:rPr>
          <w:rFonts w:ascii="Times New Roman" w:hAnsi="Times New Roman" w:cs="Times New Roman"/>
          <w:sz w:val="28"/>
          <w:szCs w:val="28"/>
        </w:rPr>
        <w:t>0</w:t>
      </w:r>
      <w:r w:rsidRPr="00A322E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 w:cs="Times New Roman"/>
          <w:sz w:val="28"/>
          <w:szCs w:val="28"/>
        </w:rPr>
        <w:t>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4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640614">
        <w:rPr>
          <w:rFonts w:ascii="Times New Roman" w:hAnsi="Times New Roman" w:cs="Times New Roman"/>
          <w:sz w:val="28"/>
          <w:szCs w:val="28"/>
        </w:rPr>
        <w:t>17</w:t>
      </w:r>
      <w:r w:rsidR="00FA07FC" w:rsidRPr="00FA07FC">
        <w:rPr>
          <w:rFonts w:ascii="Times New Roman" w:hAnsi="Times New Roman" w:cs="Times New Roman"/>
          <w:sz w:val="28"/>
          <w:szCs w:val="28"/>
        </w:rPr>
        <w:t>185</w:t>
      </w:r>
      <w:r w:rsidR="00FA07FC">
        <w:rPr>
          <w:rFonts w:ascii="Times New Roman" w:hAnsi="Times New Roman" w:cs="Times New Roman"/>
          <w:sz w:val="28"/>
          <w:szCs w:val="28"/>
        </w:rPr>
        <w:t>,</w:t>
      </w:r>
      <w:r w:rsidR="00FA07FC" w:rsidRPr="00FA07FC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17</w:t>
      </w:r>
      <w:r w:rsidR="00FA07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07FC">
        <w:rPr>
          <w:rFonts w:ascii="Times New Roman" w:hAnsi="Times New Roman" w:cs="Times New Roman"/>
          <w:sz w:val="28"/>
          <w:szCs w:val="28"/>
        </w:rPr>
        <w:t>185,5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Сальского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 w:cs="Times New Roman"/>
          <w:sz w:val="28"/>
          <w:szCs w:val="28"/>
        </w:rPr>
        <w:t>превышающего 4,0 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10 254,5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 и на 202</w:t>
      </w:r>
      <w:r w:rsidR="009739B5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D23A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10 254,5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198,3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D23A7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259,8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lastRenderedPageBreak/>
        <w:t>Ивановского сельского поселения Сальского района на 1 января 202</w:t>
      </w:r>
      <w:r w:rsidR="00645B09" w:rsidRPr="00645B09">
        <w:rPr>
          <w:rFonts w:ascii="Times New Roman" w:hAnsi="Times New Roman" w:cs="Times New Roman"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верхний предел муниципального внутреннего долга Ивановского сельского поселения Сальского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645B09" w:rsidRPr="00645B09">
        <w:rPr>
          <w:rFonts w:ascii="Times New Roman" w:hAnsi="Times New Roman" w:cs="Times New Roman"/>
          <w:iCs/>
          <w:spacing w:val="-4"/>
          <w:sz w:val="28"/>
          <w:szCs w:val="28"/>
        </w:rPr>
        <w:t>8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год и на плановый период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="00DC0B47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C0B47">
        <w:rPr>
          <w:rFonts w:ascii="Times New Roman" w:hAnsi="Times New Roman" w:cs="Times New Roman"/>
          <w:sz w:val="28"/>
          <w:szCs w:val="28"/>
        </w:rPr>
        <w:t>191,3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0B47">
        <w:rPr>
          <w:rFonts w:ascii="Times New Roman" w:hAnsi="Times New Roman" w:cs="Times New Roman"/>
          <w:sz w:val="28"/>
          <w:szCs w:val="28"/>
        </w:rPr>
        <w:t>198,9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0B47">
        <w:rPr>
          <w:rFonts w:ascii="Times New Roman" w:hAnsi="Times New Roman" w:cs="Times New Roman"/>
          <w:sz w:val="28"/>
          <w:szCs w:val="28"/>
        </w:rPr>
        <w:t>206,9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 сумме   </w:t>
      </w:r>
      <w:r w:rsidR="00645B09" w:rsidRPr="00645B09">
        <w:rPr>
          <w:rFonts w:ascii="Times New Roman" w:hAnsi="Times New Roman" w:cs="Times New Roman"/>
          <w:sz w:val="28"/>
          <w:szCs w:val="28"/>
        </w:rPr>
        <w:t>7138,6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2149,2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2275,6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FD66C7">
        <w:rPr>
          <w:rFonts w:ascii="Times New Roman" w:hAnsi="Times New Roman" w:cs="Times New Roman"/>
          <w:sz w:val="28"/>
          <w:szCs w:val="28"/>
        </w:rPr>
        <w:t>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B04DC" w:rsidRPr="00FD66C7">
        <w:rPr>
          <w:rFonts w:ascii="Times New Roman" w:hAnsi="Times New Roman" w:cs="Times New Roman"/>
          <w:sz w:val="28"/>
          <w:szCs w:val="28"/>
        </w:rPr>
        <w:t>4,</w:t>
      </w:r>
      <w:r w:rsidR="00FD66C7" w:rsidRPr="00FD66C7">
        <w:rPr>
          <w:rFonts w:ascii="Times New Roman" w:hAnsi="Times New Roman" w:cs="Times New Roman"/>
          <w:sz w:val="28"/>
          <w:szCs w:val="28"/>
        </w:rPr>
        <w:t>0</w:t>
      </w:r>
      <w:r w:rsidR="00DB04DC" w:rsidRPr="00FD66C7">
        <w:rPr>
          <w:rFonts w:ascii="Times New Roman" w:hAnsi="Times New Roman" w:cs="Times New Roman"/>
          <w:sz w:val="28"/>
          <w:szCs w:val="28"/>
        </w:rPr>
        <w:t xml:space="preserve"> </w:t>
      </w:r>
      <w:r w:rsidRPr="00FD66C7">
        <w:rPr>
          <w:rFonts w:ascii="Times New Roman" w:hAnsi="Times New Roman" w:cs="Times New Roman"/>
          <w:sz w:val="28"/>
          <w:szCs w:val="28"/>
        </w:rPr>
        <w:t>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36C3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6C3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BC3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66C7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45B09" w:rsidRPr="00645B09">
        <w:rPr>
          <w:rFonts w:ascii="Times New Roman" w:hAnsi="Times New Roman" w:cs="Times New Roman"/>
          <w:sz w:val="28"/>
          <w:szCs w:val="28"/>
        </w:rPr>
        <w:t>4</w:t>
      </w:r>
      <w:r w:rsidRPr="00FD66C7">
        <w:rPr>
          <w:rFonts w:ascii="Times New Roman" w:hAnsi="Times New Roman" w:cs="Times New Roman"/>
          <w:sz w:val="28"/>
          <w:szCs w:val="28"/>
        </w:rPr>
        <w:t>,0 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 4,0 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393F" w:rsidRPr="00E314A5">
        <w:rPr>
          <w:rFonts w:ascii="Times New Roman" w:hAnsi="Times New Roman" w:cs="Times New Roman"/>
          <w:sz w:val="28"/>
          <w:szCs w:val="28"/>
        </w:rPr>
        <w:t>5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3F4D12" w:rsidRPr="00570B67" w:rsidRDefault="003F4D12" w:rsidP="00570B6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67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5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5B93" w:rsidRPr="00570B67">
        <w:rPr>
          <w:rFonts w:ascii="Times New Roman" w:hAnsi="Times New Roman" w:cs="Times New Roman"/>
          <w:sz w:val="28"/>
          <w:szCs w:val="28"/>
        </w:rPr>
        <w:t>12</w:t>
      </w:r>
      <w:r w:rsidR="00FA07FC">
        <w:rPr>
          <w:rFonts w:ascii="Times New Roman" w:hAnsi="Times New Roman" w:cs="Times New Roman"/>
          <w:sz w:val="28"/>
          <w:szCs w:val="28"/>
        </w:rPr>
        <w:t> 181,5</w:t>
      </w:r>
      <w:r w:rsidR="002A0336" w:rsidRPr="00570B67">
        <w:rPr>
          <w:rFonts w:ascii="Times New Roman" w:hAnsi="Times New Roman" w:cs="Times New Roman"/>
          <w:sz w:val="28"/>
          <w:szCs w:val="28"/>
        </w:rPr>
        <w:t xml:space="preserve"> </w:t>
      </w:r>
      <w:r w:rsidRPr="00570B67">
        <w:rPr>
          <w:rFonts w:ascii="Times New Roman" w:hAnsi="Times New Roman" w:cs="Times New Roman"/>
          <w:sz w:val="28"/>
          <w:szCs w:val="28"/>
        </w:rPr>
        <w:t>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6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sz w:val="28"/>
          <w:szCs w:val="28"/>
        </w:rPr>
        <w:t>5 160,5</w:t>
      </w:r>
      <w:r w:rsidR="002A0336" w:rsidRPr="00570B67">
        <w:rPr>
          <w:rFonts w:ascii="Times New Roman" w:hAnsi="Times New Roman" w:cs="Times New Roman"/>
          <w:sz w:val="28"/>
          <w:szCs w:val="28"/>
        </w:rPr>
        <w:t xml:space="preserve"> </w:t>
      </w:r>
      <w:r w:rsidRPr="00570B67">
        <w:rPr>
          <w:rFonts w:ascii="Times New Roman" w:hAnsi="Times New Roman" w:cs="Times New Roman"/>
          <w:sz w:val="28"/>
          <w:szCs w:val="28"/>
        </w:rPr>
        <w:t>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7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sz w:val="28"/>
          <w:szCs w:val="28"/>
        </w:rPr>
        <w:t>2 275,8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3F4D12" w:rsidRDefault="003F4D12" w:rsidP="00570B6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67">
        <w:rPr>
          <w:rFonts w:ascii="Times New Roman" w:hAnsi="Times New Roman" w:cs="Times New Roman"/>
          <w:sz w:val="28"/>
          <w:szCs w:val="28"/>
        </w:rPr>
        <w:t>1) объем дотаций, предоставляемых местному бюджету из областного бюджета в 202</w:t>
      </w:r>
      <w:r w:rsidR="00645B09" w:rsidRPr="00570B67">
        <w:rPr>
          <w:rFonts w:ascii="Times New Roman" w:hAnsi="Times New Roman" w:cs="Times New Roman"/>
          <w:sz w:val="28"/>
          <w:szCs w:val="28"/>
        </w:rPr>
        <w:t>5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2F5A" w:rsidRPr="00570B67">
        <w:rPr>
          <w:rFonts w:ascii="Times New Roman" w:hAnsi="Times New Roman" w:cs="Times New Roman"/>
          <w:sz w:val="28"/>
          <w:szCs w:val="28"/>
        </w:rPr>
        <w:t>402,0</w:t>
      </w:r>
      <w:r w:rsidR="00645B09" w:rsidRPr="00570B67">
        <w:rPr>
          <w:rFonts w:ascii="Times New Roman" w:hAnsi="Times New Roman" w:cs="Times New Roman"/>
          <w:sz w:val="28"/>
          <w:szCs w:val="28"/>
        </w:rPr>
        <w:t xml:space="preserve"> тыс. рублей, на 2026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2F5A" w:rsidRPr="00570B67">
        <w:rPr>
          <w:rFonts w:ascii="Times New Roman" w:hAnsi="Times New Roman" w:cs="Times New Roman"/>
          <w:sz w:val="28"/>
          <w:szCs w:val="28"/>
        </w:rPr>
        <w:t>0,0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7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2F5A" w:rsidRPr="00570B67">
        <w:rPr>
          <w:rFonts w:ascii="Times New Roman" w:hAnsi="Times New Roman" w:cs="Times New Roman"/>
          <w:sz w:val="28"/>
          <w:szCs w:val="28"/>
        </w:rPr>
        <w:t>0,0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5A" w:rsidRPr="003A5B93" w:rsidRDefault="003A5B93" w:rsidP="005C2F5A">
      <w:pPr>
        <w:ind w:firstLine="4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5C2F5A" w:rsidRPr="003A5B93">
        <w:rPr>
          <w:rFonts w:ascii="Times New Roman" w:hAnsi="Times New Roman" w:cs="Times New Roman"/>
          <w:sz w:val="28"/>
        </w:rPr>
        <w:t xml:space="preserve">объем дотаций, предоставляемых местному бюджету из бюджета Сальского района  в 2025 году в сумме </w:t>
      </w:r>
      <w:r w:rsidR="00FA07FC">
        <w:rPr>
          <w:rFonts w:ascii="Times New Roman" w:hAnsi="Times New Roman" w:cs="Times New Roman"/>
          <w:sz w:val="28"/>
        </w:rPr>
        <w:t>4430,7</w:t>
      </w:r>
      <w:r w:rsidR="005C2F5A" w:rsidRPr="003A5B93">
        <w:rPr>
          <w:rFonts w:ascii="Times New Roman" w:hAnsi="Times New Roman" w:cs="Times New Roman"/>
          <w:sz w:val="28"/>
        </w:rPr>
        <w:t xml:space="preserve"> тыс. рублей, на 2026 год в сумме </w:t>
      </w:r>
      <w:r w:rsidR="00FA07FC">
        <w:rPr>
          <w:rFonts w:ascii="Times New Roman" w:hAnsi="Times New Roman" w:cs="Times New Roman"/>
          <w:sz w:val="28"/>
        </w:rPr>
        <w:t>2836,1</w:t>
      </w:r>
      <w:r w:rsidR="005C2F5A" w:rsidRPr="003A5B93">
        <w:rPr>
          <w:rFonts w:ascii="Times New Roman" w:hAnsi="Times New Roman" w:cs="Times New Roman"/>
          <w:sz w:val="28"/>
        </w:rPr>
        <w:t xml:space="preserve"> тыс. рублей, на 2027 год в сумме </w:t>
      </w:r>
      <w:r w:rsidR="00FA07FC">
        <w:rPr>
          <w:rFonts w:ascii="Times New Roman" w:hAnsi="Times New Roman" w:cs="Times New Roman"/>
          <w:sz w:val="28"/>
        </w:rPr>
        <w:t xml:space="preserve">0,0 </w:t>
      </w:r>
      <w:r w:rsidR="005C2F5A" w:rsidRPr="003A5B93">
        <w:rPr>
          <w:rFonts w:ascii="Times New Roman" w:hAnsi="Times New Roman" w:cs="Times New Roman"/>
          <w:sz w:val="28"/>
        </w:rPr>
        <w:t xml:space="preserve">тыс. рублей;  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3F4D12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</w:t>
      </w:r>
      <w:r w:rsidR="00645B09">
        <w:rPr>
          <w:rFonts w:ascii="Times New Roman" w:hAnsi="Times New Roman" w:cs="Times New Roman"/>
          <w:sz w:val="28"/>
          <w:szCs w:val="28"/>
        </w:rPr>
        <w:t>ету из областного бюджета в 2025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160,</w:t>
      </w:r>
      <w:r w:rsidR="005C2F5A">
        <w:rPr>
          <w:rFonts w:ascii="Times New Roman" w:hAnsi="Times New Roman" w:cs="Times New Roman"/>
          <w:sz w:val="28"/>
          <w:szCs w:val="28"/>
        </w:rPr>
        <w:t>5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175,</w:t>
      </w:r>
      <w:r w:rsidR="005C2F5A">
        <w:rPr>
          <w:rFonts w:ascii="Times New Roman" w:hAnsi="Times New Roman" w:cs="Times New Roman"/>
          <w:sz w:val="28"/>
          <w:szCs w:val="28"/>
        </w:rPr>
        <w:t>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0,</w:t>
      </w:r>
      <w:r w:rsidR="005C2F5A">
        <w:rPr>
          <w:rFonts w:ascii="Times New Roman" w:hAnsi="Times New Roman" w:cs="Times New Roman"/>
          <w:sz w:val="28"/>
          <w:szCs w:val="28"/>
        </w:rPr>
        <w:t>2</w:t>
      </w:r>
      <w:r w:rsidR="005710AD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F4D12" w:rsidRPr="00CA3FB5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A3FB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r:id="rId14" w:history="1">
        <w:r w:rsidRPr="00CA3FB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CA3FB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CA3FB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2F5A">
        <w:rPr>
          <w:rFonts w:ascii="Times New Roman" w:hAnsi="Times New Roman" w:cs="Times New Roman"/>
          <w:sz w:val="28"/>
          <w:szCs w:val="28"/>
        </w:rPr>
        <w:t>7188,3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CA3FB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2F5A">
        <w:rPr>
          <w:rFonts w:ascii="Times New Roman" w:hAnsi="Times New Roman" w:cs="Times New Roman"/>
          <w:sz w:val="28"/>
          <w:szCs w:val="28"/>
        </w:rPr>
        <w:t>2149,2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CA3FB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9E127A" w:rsidRPr="00CA3FB5">
        <w:rPr>
          <w:rFonts w:ascii="Times New Roman" w:hAnsi="Times New Roman" w:cs="Times New Roman"/>
          <w:sz w:val="28"/>
          <w:szCs w:val="28"/>
        </w:rPr>
        <w:t xml:space="preserve"> </w:t>
      </w:r>
      <w:r w:rsidR="005C2F5A">
        <w:rPr>
          <w:rFonts w:ascii="Times New Roman" w:hAnsi="Times New Roman" w:cs="Times New Roman"/>
          <w:sz w:val="28"/>
          <w:szCs w:val="28"/>
        </w:rPr>
        <w:t>2275,6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14A5" w:rsidRPr="00E314A5">
        <w:rPr>
          <w:rFonts w:ascii="Times New Roman" w:hAnsi="Times New Roman" w:cs="Times New Roman"/>
          <w:sz w:val="28"/>
          <w:szCs w:val="28"/>
        </w:rPr>
        <w:t>6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3F4D12" w:rsidRPr="003F4D12" w:rsidRDefault="003F4D12" w:rsidP="00E3363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</w:t>
      </w:r>
      <w:r w:rsidRPr="00194035">
        <w:rPr>
          <w:rFonts w:ascii="Times New Roman" w:hAnsi="Times New Roman" w:cs="Times New Roman"/>
          <w:sz w:val="28"/>
          <w:szCs w:val="28"/>
        </w:rPr>
        <w:t>соглашениями в 202</w:t>
      </w:r>
      <w:r w:rsidR="00E33637">
        <w:rPr>
          <w:rFonts w:ascii="Times New Roman" w:hAnsi="Times New Roman" w:cs="Times New Roman"/>
          <w:sz w:val="28"/>
          <w:szCs w:val="28"/>
        </w:rPr>
        <w:t>5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3637">
        <w:rPr>
          <w:rFonts w:ascii="Times New Roman" w:hAnsi="Times New Roman" w:cs="Times New Roman"/>
          <w:sz w:val="28"/>
          <w:szCs w:val="28"/>
        </w:rPr>
        <w:t>35,0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 202</w:t>
      </w:r>
      <w:r w:rsidR="00E33637">
        <w:rPr>
          <w:rFonts w:ascii="Times New Roman" w:hAnsi="Times New Roman" w:cs="Times New Roman"/>
          <w:sz w:val="28"/>
          <w:szCs w:val="28"/>
        </w:rPr>
        <w:t>6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3637">
        <w:rPr>
          <w:rFonts w:ascii="Times New Roman" w:hAnsi="Times New Roman" w:cs="Times New Roman"/>
          <w:sz w:val="28"/>
          <w:szCs w:val="28"/>
        </w:rPr>
        <w:t>16,4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C2B5A" w:rsidRPr="006C2B5A">
        <w:rPr>
          <w:rFonts w:ascii="Times New Roman" w:hAnsi="Times New Roman" w:cs="Times New Roman"/>
          <w:sz w:val="28"/>
          <w:szCs w:val="28"/>
        </w:rPr>
        <w:t>7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3637">
        <w:rPr>
          <w:rFonts w:ascii="Times New Roman" w:hAnsi="Times New Roman" w:cs="Times New Roman"/>
          <w:sz w:val="28"/>
          <w:szCs w:val="28"/>
        </w:rPr>
        <w:t>17,0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940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10CFE">
        <w:rPr>
          <w:rFonts w:ascii="Times New Roman" w:hAnsi="Times New Roman" w:cs="Times New Roman"/>
          <w:sz w:val="28"/>
          <w:szCs w:val="28"/>
        </w:rPr>
        <w:t>6</w:t>
      </w:r>
      <w:r w:rsidRPr="003F4D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</w:t>
      </w:r>
      <w:r w:rsidR="00BC3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CE1">
        <w:rPr>
          <w:rFonts w:ascii="Times New Roman" w:hAnsi="Times New Roman" w:cs="Times New Roman"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>на 202</w:t>
      </w:r>
      <w:r w:rsidR="006C2B5A" w:rsidRPr="006C2B5A">
        <w:rPr>
          <w:rFonts w:ascii="Times New Roman" w:hAnsi="Times New Roman" w:cs="Times New Roman"/>
          <w:sz w:val="28"/>
          <w:szCs w:val="28"/>
        </w:rPr>
        <w:t xml:space="preserve">5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6C2B5A" w:rsidRPr="006C2B5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  </w:t>
      </w:r>
      <w:r w:rsidR="00CD6CE1">
        <w:rPr>
          <w:rFonts w:ascii="Times New Roman" w:hAnsi="Times New Roman" w:cs="Times New Roman"/>
          <w:iCs/>
          <w:sz w:val="28"/>
          <w:szCs w:val="28"/>
        </w:rPr>
        <w:t>8</w:t>
      </w:r>
      <w:r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6C2B5A" w:rsidRPr="006C2B5A">
        <w:rPr>
          <w:rFonts w:ascii="Times New Roman" w:hAnsi="Times New Roman" w:cs="Times New Roman"/>
          <w:b/>
          <w:sz w:val="28"/>
          <w:szCs w:val="28"/>
        </w:rPr>
        <w:t>5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6591" w:rsidRPr="00A96591" w:rsidRDefault="00A96591" w:rsidP="00A965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A96591">
          <w:rPr>
            <w:rFonts w:ascii="Times New Roman" w:hAnsi="Times New Roman" w:cs="Times New Roman"/>
            <w:sz w:val="28"/>
            <w:szCs w:val="28"/>
          </w:rPr>
          <w:t>пунктом 3 статьи 95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A9659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в 2025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 сельского  поселения, является увеличение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 сельского 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A96591" w:rsidRPr="00A96591" w:rsidRDefault="00A96591" w:rsidP="00A965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8" w:history="1">
        <w:r w:rsidRPr="00A965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 </w:t>
      </w:r>
      <w:r w:rsidR="00FA743E">
        <w:rPr>
          <w:rFonts w:ascii="Times New Roman" w:hAnsi="Times New Roman" w:cs="Times New Roman"/>
          <w:sz w:val="28"/>
          <w:szCs w:val="28"/>
        </w:rPr>
        <w:t>40</w:t>
      </w:r>
      <w:r w:rsidRPr="00A96591">
        <w:rPr>
          <w:rFonts w:ascii="Times New Roman" w:hAnsi="Times New Roman" w:cs="Times New Roman"/>
          <w:sz w:val="28"/>
          <w:szCs w:val="28"/>
        </w:rPr>
        <w:t xml:space="preserve"> </w:t>
      </w:r>
      <w:r w:rsidRPr="00A96591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FA743E">
        <w:rPr>
          <w:rFonts w:ascii="Times New Roman" w:hAnsi="Times New Roman" w:cs="Times New Roman"/>
          <w:bCs/>
          <w:sz w:val="28"/>
          <w:szCs w:val="28"/>
        </w:rPr>
        <w:t xml:space="preserve">Положения о бюджетном процессе  в </w:t>
      </w:r>
      <w:r w:rsidR="00FA743E" w:rsidRPr="00FA743E">
        <w:rPr>
          <w:rFonts w:ascii="Times New Roman" w:hAnsi="Times New Roman" w:cs="Times New Roman"/>
          <w:bCs/>
          <w:sz w:val="28"/>
          <w:szCs w:val="28"/>
        </w:rPr>
        <w:lastRenderedPageBreak/>
        <w:t>Ивановском</w:t>
      </w:r>
      <w:r w:rsidRPr="00FA743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FA743E">
        <w:rPr>
          <w:rFonts w:ascii="Times New Roman" w:hAnsi="Times New Roman" w:cs="Times New Roman"/>
          <w:sz w:val="28"/>
          <w:szCs w:val="28"/>
        </w:rPr>
        <w:t>, что осн</w:t>
      </w:r>
      <w:r w:rsidRPr="00A96591">
        <w:rPr>
          <w:rFonts w:ascii="Times New Roman" w:hAnsi="Times New Roman" w:cs="Times New Roman"/>
          <w:sz w:val="28"/>
          <w:szCs w:val="28"/>
        </w:rPr>
        <w:t>ованием для внесения в 2025 году изменений в показатели сводной бюджетной росписи местного бюджета являются: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96591" w:rsidRPr="00A96591" w:rsidRDefault="00A96591" w:rsidP="00A9659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A96591" w:rsidRPr="00A96591" w:rsidRDefault="00A96591" w:rsidP="00A96591">
      <w:pPr>
        <w:widowControl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>4)перераспределение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96591" w:rsidRPr="00A96591" w:rsidRDefault="00A96591" w:rsidP="00A9659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591" w:rsidRPr="00A96591" w:rsidRDefault="00A96591" w:rsidP="00A965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Статья 9.</w:t>
      </w:r>
      <w:r w:rsidRPr="00A96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591">
        <w:rPr>
          <w:rFonts w:ascii="Times New Roman" w:hAnsi="Times New Roman" w:cs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A96591" w:rsidRPr="00A96591" w:rsidRDefault="00A96591" w:rsidP="00A965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Установить, что в 2025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района.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2025 года: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5911C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56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5BC5" w:rsidRPr="003566C8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6C2B5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C5BC5" w:rsidRPr="009610D0" w:rsidRDefault="004C5BC5" w:rsidP="004C5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C5BC5" w:rsidRPr="003566C8" w:rsidRDefault="004C5BC5" w:rsidP="004C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</w:t>
      </w:r>
      <w:r w:rsidR="00341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1D2C">
        <w:rPr>
          <w:rFonts w:ascii="Times New Roman" w:hAnsi="Times New Roman" w:cs="Times New Roman"/>
          <w:sz w:val="28"/>
          <w:szCs w:val="28"/>
        </w:rPr>
        <w:t xml:space="preserve">     </w:t>
      </w:r>
      <w:r w:rsidR="003413EA">
        <w:rPr>
          <w:rFonts w:ascii="Times New Roman" w:hAnsi="Times New Roman" w:cs="Times New Roman"/>
          <w:sz w:val="28"/>
          <w:szCs w:val="28"/>
        </w:rPr>
        <w:t xml:space="preserve"> Ю.В.Мехонцев</w:t>
      </w:r>
      <w:r w:rsidRPr="00E31D2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с.Ивановка</w:t>
      </w:r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B5A" w:rsidRPr="005C2F5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D6D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B5A" w:rsidRPr="005C2F5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D6D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C2B5A" w:rsidRPr="005C2F5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93E7F" w:rsidRPr="005C2F5A" w:rsidRDefault="004C5BC5" w:rsidP="004C5BC5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="006C2B5A" w:rsidRPr="005C2F5A">
        <w:rPr>
          <w:color w:val="000000"/>
        </w:rPr>
        <w:t>00</w:t>
      </w: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4C5BC5" w:rsidRDefault="004C5BC5" w:rsidP="004C5BC5">
      <w:pPr>
        <w:pStyle w:val="a3"/>
        <w:spacing w:after="0"/>
        <w:ind w:right="-85"/>
        <w:rPr>
          <w:color w:val="000000"/>
        </w:rPr>
      </w:pP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="006C2B5A"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lastRenderedPageBreak/>
        <w:t>и на  плановый период 202</w:t>
      </w:r>
      <w:r w:rsidR="006C2B5A"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758C0" w:rsidRPr="00BB5517" w:rsidRDefault="00A758C0" w:rsidP="00A758C0">
      <w:pPr>
        <w:pStyle w:val="af"/>
        <w:ind w:left="1416"/>
        <w:jc w:val="right"/>
        <w:rPr>
          <w:b/>
          <w:sz w:val="28"/>
          <w:szCs w:val="28"/>
        </w:rPr>
      </w:pPr>
    </w:p>
    <w:p w:rsidR="00A758C0" w:rsidRPr="00BB5517" w:rsidRDefault="00A758C0" w:rsidP="00A75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758C0" w:rsidRDefault="00A758C0" w:rsidP="00A758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A758C0" w:rsidRPr="00B6369F" w:rsidTr="00AC7980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F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5195,7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A758C0" w:rsidRPr="00B6369F" w:rsidTr="00AC7980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</w:t>
            </w:r>
            <w:r w:rsidRPr="008E2634">
              <w:rPr>
                <w:rFonts w:ascii="Times New Roman" w:hAnsi="Times New Roman" w:cs="Times New Roman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758C0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C05601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C05601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E6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758C0" w:rsidRPr="00B6369F" w:rsidTr="00AC7980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E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8908F3" w:rsidP="00C3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C35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64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758C0" w:rsidRPr="00B6369F" w:rsidTr="00BF263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35329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3532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3532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5329" w:rsidRPr="00B6369F" w:rsidTr="00380B35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380B35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BF263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BF263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F263D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BF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9F021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23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758C0" w:rsidRPr="00B6369F" w:rsidTr="00AC7980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9F021C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9F021C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4702C" w:rsidP="001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D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1D58D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1D58DD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7471,5</w:t>
            </w:r>
          </w:p>
        </w:tc>
      </w:tr>
    </w:tbl>
    <w:p w:rsidR="00A758C0" w:rsidRDefault="00A758C0" w:rsidP="00A758C0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58C0" w:rsidRPr="0084658E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4C5BC5" w:rsidRPr="00DF22FF" w:rsidTr="00AC7980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645B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6C2B5A"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4C5BC5" w:rsidRPr="006642ED" w:rsidRDefault="004C5BC5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4C5BC5" w:rsidRPr="00DF22FF" w:rsidRDefault="004C5BC5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4C5BC5" w:rsidRPr="00DF22FF" w:rsidTr="00AC7980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C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5BC5" w:rsidRPr="00DF22FF" w:rsidRDefault="004C5BC5" w:rsidP="00AC7980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751333" w:rsidTr="00AC7980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DF22FF" w:rsidTr="00AC7980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370065" w:rsidRDefault="006C2B5A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6C2B5A" w:rsidRDefault="006C2B5A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370065" w:rsidRDefault="00370065" w:rsidP="0045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B35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380B35" w:rsidRDefault="00380B3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370065" w:rsidRPr="00DF22FF" w:rsidTr="00AC7980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065" w:rsidRPr="00DF22FF" w:rsidRDefault="00370065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65" w:rsidRDefault="00370065" w:rsidP="00370065">
            <w:pPr>
              <w:jc w:val="center"/>
            </w:pP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5" w:rsidRDefault="00370065" w:rsidP="00370065">
            <w:pPr>
              <w:jc w:val="center"/>
            </w:pPr>
            <w:r w:rsidRPr="004C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7 471,5</w:t>
            </w:r>
          </w:p>
        </w:tc>
      </w:tr>
    </w:tbl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0E36FA" w:rsidTr="000E36FA">
              <w:trPr>
                <w:trHeight w:val="300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0E36FA" w:rsidTr="000E36FA">
              <w:trPr>
                <w:trHeight w:val="300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0E36FA" w:rsidTr="000E36FA">
              <w:trPr>
                <w:trHeight w:val="300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617A0E" w:rsidP="00380B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380B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185,5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380B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0 254,5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7 471,5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6 330,3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6 631,4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3 889,0</w:t>
                  </w:r>
                </w:p>
              </w:tc>
            </w:tr>
            <w:tr w:rsidR="000E36FA" w:rsidRPr="000E36FA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5 931,1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380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6 222,3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3 629,2</w:t>
                  </w:r>
                </w:p>
              </w:tc>
            </w:tr>
            <w:tr w:rsidR="000E36FA" w:rsidRPr="000E36FA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1 360,0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0E36FA" w:rsidTr="00437E58">
              <w:trPr>
                <w:trHeight w:val="19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1 360,0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0E36FA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1A14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3 955,1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4 440,7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2 601,4</w:t>
                  </w:r>
                </w:p>
              </w:tc>
            </w:tr>
            <w:tr w:rsidR="000E36FA" w:rsidRPr="000E36FA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3 955,1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4 440,7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2 601,4</w:t>
                  </w:r>
                </w:p>
              </w:tc>
            </w:tr>
            <w:tr w:rsidR="000E36FA" w:rsidRPr="000E36FA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CF5" w:rsidRPr="0056668B" w:rsidRDefault="00E34CF5" w:rsidP="00E34CF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668B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  <w:p w:rsidR="000E36FA" w:rsidRPr="0056668B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0E36FA" w:rsidRPr="000E36FA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CF5" w:rsidRPr="0056668B" w:rsidRDefault="00E34CF5" w:rsidP="00E34CF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668B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0E36FA" w:rsidRPr="0056668B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0E36FA" w:rsidRPr="000E36FA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0E36FA" w:rsidTr="000E36FA">
              <w:trPr>
                <w:trHeight w:val="346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0E36FA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0E36FA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6184B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18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6184B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1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6184B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1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6184B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1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259,8</w:t>
                  </w:r>
                </w:p>
              </w:tc>
            </w:tr>
            <w:tr w:rsidR="000E36FA" w:rsidRPr="000E36FA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89389B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701965" w:rsidRDefault="0089389B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259,8</w:t>
                  </w:r>
                </w:p>
              </w:tc>
            </w:tr>
            <w:tr w:rsidR="00701965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89389B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89389B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259,8</w:t>
                  </w:r>
                </w:p>
              </w:tc>
            </w:tr>
            <w:tr w:rsidR="00701965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701965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01965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701965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7 138,3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2 149,2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2 275,6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7 138,3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2 149,2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2 275,6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2 216,4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2 149,2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2 275,6</w:t>
                  </w:r>
                </w:p>
              </w:tc>
            </w:tr>
            <w:tr w:rsidR="000E36FA" w:rsidRPr="000E36FA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2 216,4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2 149,2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2 275,6</w:t>
                  </w:r>
                </w:p>
              </w:tc>
            </w:tr>
            <w:tr w:rsidR="000E36FA" w:rsidRPr="000E36FA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4 921,9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4 921,9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617A0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617A0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0E36FA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7E4CDF" w:rsidRPr="000E36FA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DF" w:rsidRPr="007E4CDF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7E4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0E36FA" w:rsidRDefault="007E4CD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667C2" w:rsidRPr="000E36FA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0E36FA" w:rsidRDefault="007667C2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8938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8938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8938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8938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0E36FA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8938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8938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0E36FA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8938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8938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</w:t>
                  </w: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0E36FA" w:rsidRPr="000E36FA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0E36FA" w:rsidRPr="000E36FA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0E36FA" w:rsidRPr="000E36FA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0E36FA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C83673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C83673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C83673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C836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83673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83673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83673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83673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F0167F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89389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185,5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0 254,5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7 471,5</w:t>
                        </w:r>
                      </w:p>
                    </w:tc>
                  </w:tr>
                  <w:tr w:rsidR="00C83673" w:rsidRPr="00C83673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915F41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15F41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1 360,0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C83673" w:rsidRPr="00C83673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915F41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</w:pPr>
                        <w:r w:rsidRPr="00915F41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915F41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 w:rsidP="001A143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3 955,1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4 440,7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2 601,4</w:t>
                        </w:r>
                      </w:p>
                    </w:tc>
                  </w:tr>
                  <w:tr w:rsidR="00C83673" w:rsidRPr="00C83673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915F41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</w:pPr>
                        <w:r w:rsidRPr="00915F41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915F41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C83673" w:rsidRPr="00C83673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83673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83673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0E6CD5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E6CD5">
                          <w:rPr>
                            <w:rFonts w:ascii="Times New Roman" w:hAnsi="Times New Roman" w:cs="Times New Roman"/>
                            <w:color w:val="000000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198,3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259,8</w:t>
                        </w:r>
                      </w:p>
                    </w:tc>
                  </w:tr>
                  <w:tr w:rsidR="00C83673" w:rsidRPr="00C83673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160,3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2 216,4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2 149,2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2 275,6</w:t>
                        </w:r>
                      </w:p>
                    </w:tc>
                  </w:tr>
                  <w:tr w:rsidR="00C83673" w:rsidRPr="00C83673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4 921,9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E809E9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E809E9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F01023" w:rsidRPr="00C83673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01023" w:rsidRPr="00C83673" w:rsidRDefault="00F01023" w:rsidP="00F0102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реализацию инициативных проектов</w:t>
                        </w: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C83673" w:rsidRDefault="00F01023" w:rsidP="00F0102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0E36FA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0E36FA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0E36FA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0E36FA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E36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C83673" w:rsidRDefault="00F01023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645,3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C83673" w:rsidRDefault="00F01023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C83673" w:rsidRDefault="00F01023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83673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C83673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="0089389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83673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35726" w:rsidRPr="00C83673" w:rsidTr="00935726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198,9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5726" w:rsidRPr="00C83673" w:rsidRDefault="00935726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367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206,9</w:t>
                        </w:r>
                      </w:p>
                    </w:tc>
                  </w:tr>
                </w:tbl>
                <w:p w:rsidR="00EF5F5C" w:rsidRPr="00C83673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Pr="00C83673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Pr="00C83673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6C2B5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6C2B5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тыс.рублей</w:t>
                  </w:r>
                </w:p>
                <w:p w:rsidR="00426779" w:rsidRPr="006F37D8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212EC0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212EC0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212EC0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4D5186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185,5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10 254,5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7 471,5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212EC0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E00839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2 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212EC0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6970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6970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697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6970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645,3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212EC0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212EC0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6970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69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645,3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212EC0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6970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69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645,3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212EC0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6970" w:rsidRDefault="000762CD" w:rsidP="000762CD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697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</w:t>
                        </w:r>
                        <w:r w:rsidRPr="00C469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.01.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645,3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212EC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1 360,0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212EC0" w:rsidTr="00212EC0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  <w:p w:rsidR="00212EC0" w:rsidRDefault="00212EC0" w:rsidP="00212E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2EC0" w:rsidRPr="00212EC0" w:rsidRDefault="00212EC0" w:rsidP="00212E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1 360,0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E00839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</w:t>
                        </w:r>
                        <w:r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>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1 360,0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212EC0" w:rsidTr="00E00839">
                    <w:trPr>
                      <w:trHeight w:val="6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E00839" w:rsidRDefault="00D2212E" w:rsidP="00D2212E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 xml:space="preserve">Обеспечение деятельности Администрации </w:t>
                        </w:r>
                        <w:r w:rsidR="00E00839"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t>Ивановского</w:t>
                        </w:r>
                        <w:r w:rsidRPr="00E0083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сельского поселения</w:t>
                        </w:r>
                      </w:p>
                      <w:p w:rsidR="00212EC0" w:rsidRPr="00E00839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715,6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1B34F4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210,9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2 831,6</w:t>
                        </w:r>
                      </w:p>
                    </w:tc>
                  </w:tr>
                  <w:tr w:rsidR="00212EC0" w:rsidRPr="00212EC0" w:rsidTr="00212EC0">
                    <w:trPr>
                      <w:trHeight w:val="8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555,1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1B34F4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035,7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2 831,4</w:t>
                        </w:r>
                      </w:p>
                    </w:tc>
                  </w:tr>
                  <w:tr w:rsidR="00212EC0" w:rsidRPr="00212EC0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0691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691C">
                          <w:rPr>
                            <w:rFonts w:ascii="Times New Roman" w:hAnsi="Times New Roman" w:cs="Times New Roman"/>
                            <w:color w:val="000000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1A143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3 955,1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4 440,7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2 601,4</w:t>
                        </w:r>
                      </w:p>
                    </w:tc>
                  </w:tr>
                  <w:tr w:rsidR="00212EC0" w:rsidRPr="00212EC0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0691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691C">
                          <w:rPr>
                            <w:rFonts w:ascii="Times New Roman" w:hAnsi="Times New Roman" w:cs="Times New Roman"/>
                            <w:color w:val="000000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212EC0" w:rsidRPr="00212EC0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160,3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212EC0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71F89">
                          <w:rPr>
                            <w:color w:val="000000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7 744,6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562,8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759,3</w:t>
                        </w:r>
                      </w:p>
                    </w:tc>
                  </w:tr>
                  <w:tr w:rsidR="00212EC0" w:rsidRPr="00212EC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7 734,6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562,8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938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759,3</w:t>
                        </w:r>
                      </w:p>
                    </w:tc>
                  </w:tr>
                  <w:tr w:rsidR="00212EC0" w:rsidRPr="00212EC0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206,9</w:t>
                        </w:r>
                      </w:p>
                    </w:tc>
                  </w:tr>
                  <w:tr w:rsidR="00212EC0" w:rsidRPr="00212EC0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2 216,4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2 149,2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2 275,6</w:t>
                        </w:r>
                      </w:p>
                    </w:tc>
                  </w:tr>
                  <w:tr w:rsidR="00212EC0" w:rsidRPr="00212EC0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212EC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212EC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212EC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212EC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12E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212EC0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DD1F93" w:rsidRDefault="00DD1F93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1F9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198,3</w:t>
                        </w:r>
                      </w:p>
                    </w:tc>
                  </w:tr>
                  <w:tr w:rsidR="00340240" w:rsidRPr="00212EC0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212EC0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4 921,9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4024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402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6779" w:rsidRPr="00353592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1B0BF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5BC5" w:rsidRPr="00D67E79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 w:rsidR="002F3130">
        <w:rPr>
          <w:rFonts w:ascii="Times New Roman" w:hAnsi="Times New Roman"/>
          <w:sz w:val="28"/>
          <w:szCs w:val="28"/>
        </w:rPr>
        <w:t>6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D67E79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="006C2B5A" w:rsidRPr="006C2B5A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C2B5A" w:rsidRPr="006C2B5A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sz w:val="28"/>
          <w:szCs w:val="28"/>
        </w:rPr>
        <w:t>7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D67E79" w:rsidRDefault="004C5BC5" w:rsidP="004C5BC5">
      <w:pPr>
        <w:tabs>
          <w:tab w:val="left" w:pos="4678"/>
        </w:tabs>
        <w:rPr>
          <w:bCs/>
          <w:sz w:val="28"/>
          <w:szCs w:val="28"/>
        </w:rPr>
      </w:pPr>
    </w:p>
    <w:p w:rsidR="004C5BC5" w:rsidRPr="00D67E79" w:rsidRDefault="004C5BC5" w:rsidP="004C5BC5">
      <w:pPr>
        <w:jc w:val="center"/>
        <w:rPr>
          <w:b/>
          <w:bCs/>
          <w:sz w:val="28"/>
          <w:szCs w:val="28"/>
        </w:rPr>
      </w:pP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из бюджета Ивановского сельского поселения  Сальского района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6C2B5A" w:rsidRPr="006C2B5A">
        <w:rPr>
          <w:rFonts w:ascii="Times New Roman" w:hAnsi="Times New Roman" w:cs="Times New Roman"/>
          <w:b/>
          <w:sz w:val="28"/>
          <w:szCs w:val="28"/>
        </w:rPr>
        <w:t>5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6C2B5A" w:rsidRPr="005C2F5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C2B5A" w:rsidRPr="005C2F5A">
        <w:rPr>
          <w:rFonts w:ascii="Times New Roman" w:hAnsi="Times New Roman" w:cs="Times New Roman"/>
          <w:b/>
          <w:sz w:val="28"/>
          <w:szCs w:val="28"/>
        </w:rPr>
        <w:t>7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jc w:val="center"/>
        <w:rPr>
          <w:b/>
          <w:bCs/>
          <w:sz w:val="24"/>
          <w:szCs w:val="24"/>
        </w:rPr>
      </w:pPr>
    </w:p>
    <w:p w:rsidR="004C5BC5" w:rsidRDefault="004C5BC5" w:rsidP="004C5BC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(тыс.рублей)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4C5BC5" w:rsidRPr="000F5CF8" w:rsidTr="00645B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4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7</w:t>
            </w: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6" w:type="dxa"/>
            <w:vAlign w:val="center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816" w:type="dxa"/>
            <w:vAlign w:val="center"/>
          </w:tcPr>
          <w:p w:rsidR="004C5BC5" w:rsidRPr="000F5CF8" w:rsidRDefault="00897210" w:rsidP="001A1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1A1434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C5BC5" w:rsidRPr="00B507C7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2F3130">
        <w:rPr>
          <w:rFonts w:ascii="Times New Roman" w:hAnsi="Times New Roman"/>
          <w:sz w:val="28"/>
          <w:szCs w:val="28"/>
        </w:rPr>
        <w:t>7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="006C2B5A" w:rsidRPr="006C2B5A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C2B5A" w:rsidRPr="006C2B5A"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sz w:val="28"/>
          <w:szCs w:val="28"/>
        </w:rPr>
        <w:t>7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 w:rsidR="006C2B5A" w:rsidRPr="006C2B5A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C2B5A" w:rsidRPr="006C2B5A"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b/>
          <w:sz w:val="28"/>
          <w:szCs w:val="28"/>
        </w:rPr>
        <w:t>7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 w:rsidR="00635C4A">
        <w:rPr>
          <w:rFonts w:ascii="Times New Roman" w:hAnsi="Times New Roman"/>
          <w:sz w:val="24"/>
          <w:szCs w:val="24"/>
        </w:rPr>
        <w:t>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Ивановского    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</w:t>
      </w:r>
    </w:p>
    <w:p w:rsidR="004C5BC5" w:rsidRPr="0087730B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периоде 202</w:t>
      </w:r>
      <w:r w:rsidR="006C2B5A" w:rsidRPr="005C2F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5C2F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B2" w:rsidRDefault="00AE35B2" w:rsidP="00F74958">
      <w:pPr>
        <w:spacing w:after="0" w:line="240" w:lineRule="auto"/>
      </w:pPr>
      <w:r>
        <w:separator/>
      </w:r>
    </w:p>
  </w:endnote>
  <w:endnote w:type="continuationSeparator" w:id="0">
    <w:p w:rsidR="00AE35B2" w:rsidRDefault="00AE35B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32F48" w:rsidRDefault="00032F4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289C">
      <w:rPr>
        <w:rStyle w:val="af0"/>
        <w:noProof/>
      </w:rPr>
      <w:t>2</w:t>
    </w:r>
    <w:r>
      <w:rPr>
        <w:rStyle w:val="af0"/>
      </w:rPr>
      <w:fldChar w:fldCharType="end"/>
    </w:r>
  </w:p>
  <w:p w:rsidR="00032F48" w:rsidRDefault="00032F4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32F48" w:rsidRDefault="00032F48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32F48" w:rsidRDefault="00032F48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289C">
      <w:rPr>
        <w:rStyle w:val="af0"/>
        <w:noProof/>
      </w:rPr>
      <w:t>21</w:t>
    </w:r>
    <w:r>
      <w:rPr>
        <w:rStyle w:val="af0"/>
      </w:rPr>
      <w:fldChar w:fldCharType="end"/>
    </w:r>
  </w:p>
  <w:p w:rsidR="00032F48" w:rsidRDefault="00032F4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32F48" w:rsidRDefault="00032F4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B2" w:rsidRDefault="00AE35B2" w:rsidP="00F74958">
      <w:pPr>
        <w:spacing w:after="0" w:line="240" w:lineRule="auto"/>
      </w:pPr>
      <w:r>
        <w:separator/>
      </w:r>
    </w:p>
  </w:footnote>
  <w:footnote w:type="continuationSeparator" w:id="0">
    <w:p w:rsidR="00AE35B2" w:rsidRDefault="00AE35B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32F48" w:rsidRDefault="00032F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8"/>
      <w:framePr w:wrap="around" w:vAnchor="text" w:hAnchor="margin" w:xAlign="center" w:y="1"/>
      <w:rPr>
        <w:rStyle w:val="af0"/>
      </w:rPr>
    </w:pPr>
  </w:p>
  <w:p w:rsidR="00032F48" w:rsidRDefault="00032F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32F48" w:rsidRDefault="00032F4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8" w:rsidRDefault="00032F48" w:rsidP="00EB462E">
    <w:pPr>
      <w:pStyle w:val="a8"/>
      <w:framePr w:wrap="around" w:vAnchor="text" w:hAnchor="margin" w:xAlign="center" w:y="1"/>
      <w:rPr>
        <w:rStyle w:val="af0"/>
      </w:rPr>
    </w:pPr>
  </w:p>
  <w:p w:rsidR="00032F48" w:rsidRDefault="00032F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2F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34F4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4432"/>
    <w:rsid w:val="003444D8"/>
    <w:rsid w:val="00347347"/>
    <w:rsid w:val="0035152C"/>
    <w:rsid w:val="00351651"/>
    <w:rsid w:val="00353592"/>
    <w:rsid w:val="00353EFC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B93"/>
    <w:rsid w:val="003A5CBE"/>
    <w:rsid w:val="003A7E5B"/>
    <w:rsid w:val="003A7E89"/>
    <w:rsid w:val="003B2C70"/>
    <w:rsid w:val="003B2C8E"/>
    <w:rsid w:val="003B508A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26779"/>
    <w:rsid w:val="0043230F"/>
    <w:rsid w:val="00432A77"/>
    <w:rsid w:val="00433BFD"/>
    <w:rsid w:val="00437E58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298F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40A2"/>
    <w:rsid w:val="004D48E2"/>
    <w:rsid w:val="004D5186"/>
    <w:rsid w:val="004E016D"/>
    <w:rsid w:val="004E0F42"/>
    <w:rsid w:val="004E4EFF"/>
    <w:rsid w:val="004E71C9"/>
    <w:rsid w:val="004F1666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5718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2F5A"/>
    <w:rsid w:val="005C38BF"/>
    <w:rsid w:val="005C4791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39C3"/>
    <w:rsid w:val="006D62BC"/>
    <w:rsid w:val="006D71B8"/>
    <w:rsid w:val="006D7D51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EE1"/>
    <w:rsid w:val="007A47E7"/>
    <w:rsid w:val="007A76FB"/>
    <w:rsid w:val="007B0355"/>
    <w:rsid w:val="007B0E0A"/>
    <w:rsid w:val="007B1DD4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389B"/>
    <w:rsid w:val="00897210"/>
    <w:rsid w:val="008A2301"/>
    <w:rsid w:val="008A2E8B"/>
    <w:rsid w:val="008A67C0"/>
    <w:rsid w:val="008B021C"/>
    <w:rsid w:val="008B3074"/>
    <w:rsid w:val="008B339E"/>
    <w:rsid w:val="008B3992"/>
    <w:rsid w:val="008B5082"/>
    <w:rsid w:val="008B5724"/>
    <w:rsid w:val="008B6F25"/>
    <w:rsid w:val="008B7457"/>
    <w:rsid w:val="008C1C72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900437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21C"/>
    <w:rsid w:val="009F0362"/>
    <w:rsid w:val="009F175D"/>
    <w:rsid w:val="009F17A5"/>
    <w:rsid w:val="009F3DC0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1E7B"/>
    <w:rsid w:val="00AE31C3"/>
    <w:rsid w:val="00AE35B2"/>
    <w:rsid w:val="00AE54BC"/>
    <w:rsid w:val="00AE5E9D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289C"/>
    <w:rsid w:val="00BC334C"/>
    <w:rsid w:val="00BC36C3"/>
    <w:rsid w:val="00BC49E4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5329"/>
    <w:rsid w:val="00C37CF2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12E"/>
    <w:rsid w:val="00D22D9B"/>
    <w:rsid w:val="00D23149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1F93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0839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6BD1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5952-B5D6-43AB-8D38-879BDED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5656</TotalTime>
  <Pages>36</Pages>
  <Words>7172</Words>
  <Characters>40883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1258</cp:revision>
  <cp:lastPrinted>2023-12-27T11:12:00Z</cp:lastPrinted>
  <dcterms:created xsi:type="dcterms:W3CDTF">2016-12-05T10:24:00Z</dcterms:created>
  <dcterms:modified xsi:type="dcterms:W3CDTF">2024-11-18T06:18:00Z</dcterms:modified>
</cp:coreProperties>
</file>